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4"/>
          <w:szCs w:val="44"/>
        </w:rPr>
      </w:pPr>
      <w:r>
        <w:rPr>
          <w:rFonts w:hint="eastAsia" w:ascii="仿宋" w:hAnsi="仿宋" w:eastAsia="仿宋"/>
          <w:b/>
          <w:sz w:val="44"/>
          <w:szCs w:val="44"/>
        </w:rPr>
        <w:t>云南大学博士、硕士学位论文预审办法</w:t>
      </w:r>
    </w:p>
    <w:p>
      <w:pPr>
        <w:spacing w:line="600" w:lineRule="exact"/>
        <w:ind w:firstLine="565" w:firstLineChars="202"/>
        <w:rPr>
          <w:rFonts w:hint="eastAsia" w:ascii="仿宋" w:hAnsi="仿宋" w:eastAsia="仿宋"/>
          <w:sz w:val="28"/>
          <w:szCs w:val="28"/>
        </w:rPr>
      </w:pPr>
      <w:r>
        <w:rPr>
          <w:rFonts w:hint="eastAsia" w:ascii="仿宋" w:hAnsi="仿宋" w:eastAsia="仿宋"/>
          <w:sz w:val="28"/>
          <w:szCs w:val="28"/>
        </w:rPr>
        <w:t>第一条  为保证学位论文质量，规范我校博士硕士学位论文预审工作，特制定本办法。</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第二条 </w:t>
      </w:r>
      <w:r>
        <w:rPr>
          <w:rFonts w:ascii="仿宋" w:hAnsi="仿宋" w:eastAsia="仿宋"/>
          <w:sz w:val="28"/>
          <w:szCs w:val="28"/>
        </w:rPr>
        <w:t xml:space="preserve"> </w:t>
      </w:r>
      <w:r>
        <w:rPr>
          <w:rFonts w:hint="eastAsia" w:ascii="仿宋" w:hAnsi="仿宋" w:eastAsia="仿宋"/>
          <w:sz w:val="28"/>
          <w:szCs w:val="28"/>
        </w:rPr>
        <w:t>博士、硕士学位论文预审是学位论文提交送审前，由所在培养单位或导师组织专家对研究生学位论文所做的自我把关，其目的是对该学位论文是否已经达到本学科</w:t>
      </w:r>
      <w:r>
        <w:rPr>
          <w:rFonts w:hint="eastAsia" w:ascii="仿宋" w:hAnsi="仿宋" w:eastAsia="仿宋"/>
          <w:sz w:val="28"/>
          <w:szCs w:val="28"/>
          <w:lang w:eastAsia="zh-CN"/>
        </w:rPr>
        <w:t>（</w:t>
      </w:r>
      <w:r>
        <w:rPr>
          <w:rFonts w:hint="eastAsia" w:ascii="仿宋" w:hAnsi="仿宋" w:eastAsia="仿宋"/>
          <w:sz w:val="28"/>
          <w:szCs w:val="28"/>
          <w:lang w:val="en-US" w:eastAsia="zh-CN"/>
        </w:rPr>
        <w:t>专业学位点</w:t>
      </w:r>
      <w:r>
        <w:rPr>
          <w:rFonts w:hint="eastAsia" w:ascii="仿宋" w:hAnsi="仿宋" w:eastAsia="仿宋"/>
          <w:sz w:val="28"/>
          <w:szCs w:val="28"/>
          <w:lang w:eastAsia="zh-CN"/>
        </w:rPr>
        <w:t>）</w:t>
      </w:r>
      <w:r>
        <w:rPr>
          <w:rFonts w:hint="eastAsia" w:ascii="仿宋" w:hAnsi="仿宋" w:eastAsia="仿宋"/>
          <w:sz w:val="28"/>
          <w:szCs w:val="28"/>
        </w:rPr>
        <w:t>博士或硕士学位论文的水平要求进行自我诊断。</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第三条 </w:t>
      </w:r>
      <w:r>
        <w:rPr>
          <w:rFonts w:ascii="仿宋" w:hAnsi="仿宋" w:eastAsia="仿宋"/>
          <w:sz w:val="28"/>
          <w:szCs w:val="28"/>
        </w:rPr>
        <w:t xml:space="preserve"> </w:t>
      </w:r>
      <w:r>
        <w:rPr>
          <w:rFonts w:hint="eastAsia" w:ascii="仿宋" w:hAnsi="仿宋" w:eastAsia="仿宋"/>
          <w:sz w:val="28"/>
          <w:szCs w:val="28"/>
        </w:rPr>
        <w:t>学位论文预审可采取答辩形式或评阅形式，其中答辩形式包括专家组答辩或组会答辩等，评阅形式包括集中评阅或院内盲审等。为避免与博士生预答辩相冲突，博士研究生的学位论文预审，不采取答辩形式。</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第四条 </w:t>
      </w:r>
      <w:r>
        <w:rPr>
          <w:rFonts w:ascii="仿宋" w:hAnsi="仿宋" w:eastAsia="仿宋"/>
          <w:sz w:val="28"/>
          <w:szCs w:val="28"/>
        </w:rPr>
        <w:t xml:space="preserve"> </w:t>
      </w:r>
      <w:r>
        <w:rPr>
          <w:rFonts w:hint="eastAsia" w:ascii="仿宋" w:hAnsi="仿宋" w:eastAsia="仿宋"/>
          <w:sz w:val="28"/>
          <w:szCs w:val="28"/>
        </w:rPr>
        <w:t>学位论文预审由所属培养单位负责组织落实，由学科委员会或专业学位教育指导委员会根据各学科特点，制定适用于本学科的论文预审实施方案，包括预审流程、时间节点、预审形式、审核标准、问题论文的整改等，报所在学位评定分委员会审核，审核通过的以纸质版报研究生院学位办备案。</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第五条 </w:t>
      </w:r>
      <w:r>
        <w:rPr>
          <w:rFonts w:ascii="仿宋" w:hAnsi="仿宋" w:eastAsia="仿宋"/>
          <w:sz w:val="28"/>
          <w:szCs w:val="28"/>
        </w:rPr>
        <w:t xml:space="preserve"> </w:t>
      </w:r>
      <w:r>
        <w:rPr>
          <w:rFonts w:hint="eastAsia" w:ascii="仿宋" w:hAnsi="仿宋" w:eastAsia="仿宋"/>
          <w:sz w:val="28"/>
          <w:szCs w:val="28"/>
        </w:rPr>
        <w:t>预审采取答辩形式的，硕士学位论文需要组织至少3名副高或硕导以上专家进行预审，预审采取评阅形式的，博士学位论文需要组织至少3名以上博导或正高专家进行预审，硕士学位论文需要组织至少3名以上硕导进行预审。</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第六条 </w:t>
      </w:r>
      <w:r>
        <w:rPr>
          <w:rFonts w:ascii="仿宋" w:hAnsi="仿宋" w:eastAsia="仿宋"/>
          <w:sz w:val="28"/>
          <w:szCs w:val="28"/>
        </w:rPr>
        <w:t xml:space="preserve"> </w:t>
      </w:r>
      <w:r>
        <w:rPr>
          <w:rFonts w:hint="eastAsia" w:ascii="仿宋" w:hAnsi="仿宋" w:eastAsia="仿宋"/>
          <w:sz w:val="28"/>
          <w:szCs w:val="28"/>
        </w:rPr>
        <w:t>除符合本办法第四条规定外，各学科委员会或专业学位教育指导委员会可根据自身学科特点，制定高于本办法第四条的其他预审条件和标准。</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第七条 </w:t>
      </w:r>
      <w:r>
        <w:rPr>
          <w:rFonts w:ascii="仿宋" w:hAnsi="仿宋" w:eastAsia="仿宋"/>
          <w:sz w:val="28"/>
          <w:szCs w:val="28"/>
        </w:rPr>
        <w:t xml:space="preserve"> </w:t>
      </w:r>
      <w:r>
        <w:rPr>
          <w:rFonts w:hint="eastAsia" w:ascii="仿宋" w:hAnsi="仿宋" w:eastAsia="仿宋"/>
          <w:sz w:val="28"/>
          <w:szCs w:val="28"/>
        </w:rPr>
        <w:t>预审专家应本着高度负责、科学严谨、公正客观的态度，认真审查学位论文，并就论文的学术规范、创新性、论文的理论与实践意义、真实性与完整性、关键性结论等内容作重点审查，指出论文存在的不足和问题，提出改进意见或建议。</w:t>
      </w:r>
    </w:p>
    <w:p>
      <w:pPr>
        <w:spacing w:line="600" w:lineRule="exact"/>
        <w:ind w:firstLine="565" w:firstLineChars="202"/>
        <w:rPr>
          <w:rFonts w:hint="eastAsia" w:ascii="仿宋" w:hAnsi="仿宋" w:eastAsia="仿宋"/>
          <w:sz w:val="28"/>
          <w:szCs w:val="28"/>
        </w:rPr>
      </w:pPr>
      <w:r>
        <w:rPr>
          <w:rFonts w:hint="eastAsia" w:ascii="仿宋" w:hAnsi="仿宋" w:eastAsia="仿宋"/>
          <w:sz w:val="28"/>
          <w:szCs w:val="28"/>
        </w:rPr>
        <w:t xml:space="preserve">第八条 </w:t>
      </w:r>
      <w:r>
        <w:rPr>
          <w:rFonts w:ascii="仿宋" w:hAnsi="仿宋" w:eastAsia="仿宋"/>
          <w:sz w:val="28"/>
          <w:szCs w:val="28"/>
        </w:rPr>
        <w:t xml:space="preserve"> </w:t>
      </w:r>
      <w:r>
        <w:rPr>
          <w:rFonts w:hint="eastAsia" w:ascii="仿宋" w:hAnsi="仿宋" w:eastAsia="仿宋"/>
          <w:sz w:val="28"/>
          <w:szCs w:val="28"/>
        </w:rPr>
        <w:t>学位论文预审结论分“同意送审”、“修改后送审”和“不同意送审”三类。预审专家一致认为学位论文达到申请本学科博士或硕士学位论文要求，并“同意送审”的，可直接提交学位论文送审；若预审专家提出“修改后送审”，指导教师应就修改意见与学生研究预审专家提出的修改意见，认真修改学位论文，经导师确认后可提交学位论文送审；若预审专家提出“不同意送审”，学位申请人应及时办理延期毕业的手续。</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对于不能送审的情况，学科委员会或专业学位教育指导委员会应对导师指导过程进行了解、调查，将调查情况向学位评定分委员会进行报告。</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第九条 </w:t>
      </w:r>
      <w:r>
        <w:rPr>
          <w:rFonts w:ascii="仿宋" w:hAnsi="仿宋" w:eastAsia="仿宋"/>
          <w:sz w:val="28"/>
          <w:szCs w:val="28"/>
        </w:rPr>
        <w:t xml:space="preserve"> </w:t>
      </w:r>
      <w:r>
        <w:rPr>
          <w:rFonts w:hint="eastAsia" w:ascii="仿宋" w:hAnsi="仿宋" w:eastAsia="仿宋"/>
          <w:sz w:val="28"/>
          <w:szCs w:val="28"/>
        </w:rPr>
        <w:t>学位论文预审结束后，预审通过的研究生在提交学位申请时，向研究生信息管理系统，学位论文预审管理模块，填写相应信息，并提交《云南大学博士</w:t>
      </w:r>
      <w:r>
        <w:rPr>
          <w:rFonts w:ascii="仿宋" w:hAnsi="仿宋" w:eastAsia="仿宋"/>
          <w:sz w:val="28"/>
          <w:szCs w:val="28"/>
        </w:rPr>
        <w:t>/硕士研究生学位论文预审表》，审核通过的学位论文进入</w:t>
      </w:r>
      <w:r>
        <w:rPr>
          <w:rFonts w:hint="eastAsia" w:ascii="仿宋" w:hAnsi="仿宋" w:eastAsia="仿宋"/>
          <w:sz w:val="28"/>
          <w:szCs w:val="28"/>
        </w:rPr>
        <w:t>重复率检测环节</w:t>
      </w:r>
      <w:r>
        <w:rPr>
          <w:rFonts w:ascii="仿宋" w:hAnsi="仿宋" w:eastAsia="仿宋"/>
          <w:sz w:val="28"/>
          <w:szCs w:val="28"/>
        </w:rPr>
        <w:t>和送审环节。</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 xml:space="preserve">第十条 </w:t>
      </w:r>
      <w:r>
        <w:rPr>
          <w:rFonts w:ascii="仿宋" w:hAnsi="仿宋" w:eastAsia="仿宋"/>
          <w:sz w:val="28"/>
          <w:szCs w:val="28"/>
        </w:rPr>
        <w:t xml:space="preserve"> </w:t>
      </w:r>
      <w:r>
        <w:rPr>
          <w:rFonts w:hint="eastAsia" w:ascii="仿宋" w:hAnsi="仿宋" w:eastAsia="仿宋"/>
          <w:sz w:val="28"/>
          <w:szCs w:val="28"/>
        </w:rPr>
        <w:t>进入送审环节的学位论文，出现送审结论与学位论文预审结论有巨大差异的，由研究生导师向学位评定分委员会提出裁定申请，学位评定分委员会根据学位论文情况，预审意见、送审意见，博士研究生还应综合预答辩意见，做出是否同意研究生进行答辩的意见，裁定意见以纸质版报研究生院备案。</w:t>
      </w:r>
    </w:p>
    <w:p>
      <w:pPr>
        <w:spacing w:line="600" w:lineRule="exact"/>
        <w:ind w:firstLine="565" w:firstLineChars="202"/>
        <w:rPr>
          <w:rFonts w:ascii="仿宋" w:hAnsi="仿宋" w:eastAsia="仿宋"/>
          <w:sz w:val="28"/>
          <w:szCs w:val="28"/>
        </w:rPr>
      </w:pPr>
      <w:r>
        <w:rPr>
          <w:rFonts w:hint="eastAsia" w:ascii="仿宋" w:hAnsi="仿宋" w:eastAsia="仿宋"/>
          <w:sz w:val="28"/>
          <w:szCs w:val="28"/>
        </w:rPr>
        <w:t>第十一条 本办法自公布之日起实施，由研究生院负责解释。</w:t>
      </w:r>
    </w:p>
    <w:p>
      <w:pPr>
        <w:spacing w:line="600" w:lineRule="exact"/>
        <w:rPr>
          <w:rFonts w:ascii="仿宋" w:hAnsi="仿宋" w:eastAsia="仿宋"/>
          <w:sz w:val="28"/>
          <w:szCs w:val="28"/>
        </w:rPr>
      </w:pPr>
    </w:p>
    <w:p>
      <w:pPr>
        <w:spacing w:line="600" w:lineRule="exact"/>
        <w:ind w:firstLine="565" w:firstLineChars="202"/>
        <w:jc w:val="right"/>
        <w:rPr>
          <w:rFonts w:ascii="仿宋" w:hAnsi="仿宋" w:eastAsia="仿宋"/>
          <w:sz w:val="28"/>
          <w:szCs w:val="28"/>
        </w:rPr>
      </w:pPr>
      <w:r>
        <w:rPr>
          <w:rFonts w:hint="eastAsia" w:ascii="仿宋" w:hAnsi="仿宋" w:eastAsia="仿宋"/>
          <w:sz w:val="28"/>
          <w:szCs w:val="28"/>
        </w:rPr>
        <w:t>云南大学研究生院</w:t>
      </w:r>
    </w:p>
    <w:p>
      <w:pPr>
        <w:spacing w:line="600" w:lineRule="exact"/>
        <w:ind w:firstLine="565" w:firstLineChars="202"/>
        <w:jc w:val="right"/>
        <w:rPr>
          <w:rFonts w:hint="eastAsia" w:ascii="仿宋" w:hAnsi="仿宋" w:eastAsia="仿宋"/>
          <w:sz w:val="28"/>
          <w:szCs w:val="28"/>
        </w:rPr>
      </w:pPr>
      <w:r>
        <w:rPr>
          <w:rFonts w:hint="eastAsia" w:ascii="仿宋" w:hAnsi="仿宋" w:eastAsia="仿宋"/>
          <w:sz w:val="28"/>
          <w:szCs w:val="28"/>
        </w:rPr>
        <w:t>二〇二〇年</w:t>
      </w:r>
      <w:r>
        <w:rPr>
          <w:rFonts w:hint="eastAsia" w:ascii="仿宋" w:hAnsi="仿宋" w:eastAsia="仿宋"/>
          <w:sz w:val="28"/>
          <w:szCs w:val="28"/>
          <w:lang w:val="en-US" w:eastAsia="zh-CN"/>
        </w:rPr>
        <w:t>十二</w:t>
      </w:r>
      <w:r>
        <w:rPr>
          <w:rFonts w:hint="eastAsia" w:ascii="仿宋" w:hAnsi="仿宋" w:eastAsia="仿宋"/>
          <w:sz w:val="28"/>
          <w:szCs w:val="28"/>
        </w:rPr>
        <w:t>月二十五日</w:t>
      </w:r>
    </w:p>
    <w:p>
      <w:pPr>
        <w:spacing w:line="600" w:lineRule="exact"/>
        <w:ind w:firstLine="565" w:firstLineChars="202"/>
        <w:jc w:val="right"/>
        <w:rPr>
          <w:rFonts w:hint="eastAsia" w:ascii="仿宋" w:hAnsi="仿宋" w:eastAsia="仿宋"/>
          <w:sz w:val="28"/>
          <w:szCs w:val="28"/>
        </w:rPr>
      </w:pPr>
    </w:p>
    <w:p>
      <w:pPr>
        <w:spacing w:line="600" w:lineRule="exact"/>
        <w:ind w:firstLine="565" w:firstLineChars="202"/>
        <w:jc w:val="right"/>
        <w:rPr>
          <w:rFonts w:hint="eastAsia" w:ascii="仿宋" w:hAnsi="仿宋" w:eastAsia="仿宋"/>
          <w:sz w:val="28"/>
          <w:szCs w:val="28"/>
        </w:rPr>
      </w:pPr>
    </w:p>
    <w:p>
      <w:pPr>
        <w:spacing w:line="600" w:lineRule="exact"/>
        <w:ind w:firstLine="565" w:firstLineChars="202"/>
        <w:jc w:val="right"/>
        <w:rPr>
          <w:rFonts w:hint="eastAsia" w:ascii="仿宋" w:hAnsi="仿宋" w:eastAsia="仿宋"/>
          <w:sz w:val="28"/>
          <w:szCs w:val="28"/>
        </w:rPr>
      </w:pPr>
    </w:p>
    <w:p>
      <w:pPr>
        <w:spacing w:line="600" w:lineRule="exact"/>
        <w:ind w:firstLine="565" w:firstLineChars="202"/>
        <w:jc w:val="right"/>
        <w:rPr>
          <w:rFonts w:hint="eastAsia" w:ascii="仿宋" w:hAnsi="仿宋" w:eastAsia="仿宋"/>
          <w:sz w:val="28"/>
          <w:szCs w:val="28"/>
        </w:rPr>
      </w:pPr>
    </w:p>
    <w:p>
      <w:pPr>
        <w:spacing w:line="600" w:lineRule="exact"/>
        <w:ind w:firstLine="565" w:firstLineChars="202"/>
        <w:jc w:val="right"/>
        <w:rPr>
          <w:rFonts w:hint="eastAsia" w:ascii="仿宋" w:hAnsi="仿宋" w:eastAsia="仿宋"/>
          <w:sz w:val="28"/>
          <w:szCs w:val="28"/>
        </w:rPr>
      </w:pPr>
    </w:p>
    <w:p>
      <w:pPr>
        <w:rPr>
          <w:rFonts w:hint="eastAsia" w:ascii="宋体" w:hAnsi="宋体"/>
          <w:bCs/>
          <w:sz w:val="24"/>
        </w:rPr>
      </w:pPr>
    </w:p>
    <w:p>
      <w:pPr>
        <w:rPr>
          <w:rFonts w:ascii="宋体" w:hAnsi="宋体"/>
          <w:bCs/>
          <w:sz w:val="24"/>
        </w:rPr>
      </w:pPr>
      <w:r>
        <w:rPr>
          <w:rFonts w:hint="eastAsia" w:ascii="宋体" w:hAnsi="宋体"/>
          <w:bCs/>
          <w:sz w:val="24"/>
        </w:rPr>
        <w:t>附件：</w:t>
      </w:r>
    </w:p>
    <w:p>
      <w:pPr>
        <w:jc w:val="center"/>
        <w:rPr>
          <w:rFonts w:hint="default" w:eastAsiaTheme="minorEastAsia"/>
          <w:b/>
          <w:bCs/>
          <w:sz w:val="44"/>
          <w:szCs w:val="44"/>
          <w:lang w:val="en-US" w:eastAsia="zh-CN"/>
        </w:rPr>
      </w:pPr>
      <w:r>
        <w:rPr>
          <w:rFonts w:hint="eastAsia"/>
          <w:b/>
          <w:bCs/>
          <w:sz w:val="36"/>
          <w:szCs w:val="36"/>
          <w:lang w:val="en-US" w:eastAsia="zh-CN"/>
        </w:rPr>
        <w:t>云南</w:t>
      </w:r>
      <w:r>
        <w:rPr>
          <w:rFonts w:hint="eastAsia"/>
          <w:b/>
          <w:bCs/>
          <w:sz w:val="36"/>
          <w:szCs w:val="36"/>
        </w:rPr>
        <w:t>大学研究生学位论文预审</w:t>
      </w:r>
      <w:r>
        <w:rPr>
          <w:rFonts w:hint="eastAsia"/>
          <w:b/>
          <w:bCs/>
          <w:sz w:val="36"/>
          <w:szCs w:val="36"/>
          <w:lang w:val="en-US" w:eastAsia="zh-CN"/>
        </w:rPr>
        <w:t>结果汇总表</w:t>
      </w:r>
    </w:p>
    <w:p>
      <w:pPr>
        <w:ind w:firstLine="352" w:firstLineChars="147"/>
        <w:rPr>
          <w:bCs/>
          <w:sz w:val="24"/>
        </w:rPr>
      </w:pPr>
      <w:r>
        <w:rPr>
          <w:rFonts w:hint="eastAsia"/>
          <w:bCs/>
          <w:sz w:val="24"/>
        </w:rPr>
        <w:t xml:space="preserve">学院名称：                                                         </w:t>
      </w:r>
    </w:p>
    <w:p>
      <w:pPr>
        <w:ind w:firstLine="352" w:firstLineChars="147"/>
        <w:rPr>
          <w:bCs/>
          <w:sz w:val="24"/>
        </w:rPr>
      </w:pPr>
      <w:r>
        <w:rPr>
          <w:rFonts w:hint="eastAsia"/>
          <w:bCs/>
          <w:sz w:val="24"/>
        </w:rPr>
        <w:t xml:space="preserve">预审形式：                                                  </w:t>
      </w:r>
    </w:p>
    <w:tbl>
      <w:tblPr>
        <w:tblStyle w:val="6"/>
        <w:tblW w:w="14153" w:type="dxa"/>
        <w:tblInd w:w="355" w:type="dxa"/>
        <w:tblLayout w:type="fixed"/>
        <w:tblCellMar>
          <w:top w:w="0" w:type="dxa"/>
          <w:left w:w="108" w:type="dxa"/>
          <w:bottom w:w="0" w:type="dxa"/>
          <w:right w:w="108" w:type="dxa"/>
        </w:tblCellMar>
      </w:tblPr>
      <w:tblGrid>
        <w:gridCol w:w="818"/>
        <w:gridCol w:w="1345"/>
        <w:gridCol w:w="1134"/>
        <w:gridCol w:w="1443"/>
        <w:gridCol w:w="1080"/>
        <w:gridCol w:w="1080"/>
        <w:gridCol w:w="6173"/>
        <w:gridCol w:w="1080"/>
      </w:tblGrid>
      <w:tr>
        <w:tblPrEx>
          <w:tblCellMar>
            <w:top w:w="0" w:type="dxa"/>
            <w:left w:w="108" w:type="dxa"/>
            <w:bottom w:w="0" w:type="dxa"/>
            <w:right w:w="108" w:type="dxa"/>
          </w:tblCellMar>
        </w:tblPrEx>
        <w:trPr>
          <w:trHeight w:val="640" w:hRule="atLeast"/>
        </w:trPr>
        <w:tc>
          <w:tcPr>
            <w:tcW w:w="8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34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姓名</w:t>
            </w:r>
          </w:p>
        </w:tc>
        <w:tc>
          <w:tcPr>
            <w:tcW w:w="14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 xml:space="preserve">学科专业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学生类别</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导师姓名</w:t>
            </w:r>
          </w:p>
        </w:tc>
        <w:tc>
          <w:tcPr>
            <w:tcW w:w="61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论文题目</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结果</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r>
        <w:tblPrEx>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345"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134"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c>
          <w:tcPr>
            <w:tcW w:w="144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p>
        </w:tc>
        <w:tc>
          <w:tcPr>
            <w:tcW w:w="1080"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6173" w:type="dxa"/>
            <w:tcBorders>
              <w:top w:val="single" w:color="auto" w:sz="4" w:space="0"/>
              <w:left w:val="single" w:color="auto" w:sz="4" w:space="0"/>
              <w:bottom w:val="single" w:color="auto" w:sz="4" w:space="0"/>
              <w:right w:val="single" w:color="auto" w:sz="4" w:space="0"/>
            </w:tcBorders>
          </w:tcPr>
          <w:p>
            <w:pPr>
              <w:widowControl/>
              <w:rPr>
                <w:kern w:val="0"/>
                <w:szCs w:val="21"/>
              </w:rPr>
            </w:pPr>
            <w:r>
              <w:rPr>
                <w:kern w:val="0"/>
                <w:szCs w:val="21"/>
              </w:rPr>
              <w:t>　</w:t>
            </w:r>
          </w:p>
        </w:tc>
        <w:tc>
          <w:tcPr>
            <w:tcW w:w="1080" w:type="dxa"/>
            <w:tcBorders>
              <w:top w:val="single" w:color="auto" w:sz="4" w:space="0"/>
              <w:left w:val="nil"/>
              <w:bottom w:val="single" w:color="auto" w:sz="4" w:space="0"/>
              <w:right w:val="single" w:color="auto" w:sz="4" w:space="0"/>
            </w:tcBorders>
          </w:tcPr>
          <w:p>
            <w:pPr>
              <w:widowControl/>
              <w:rPr>
                <w:kern w:val="0"/>
                <w:szCs w:val="21"/>
              </w:rPr>
            </w:pPr>
            <w:r>
              <w:rPr>
                <w:kern w:val="0"/>
                <w:szCs w:val="21"/>
              </w:rPr>
              <w:t>　</w:t>
            </w:r>
          </w:p>
        </w:tc>
      </w:tr>
    </w:tbl>
    <w:p>
      <w:pPr>
        <w:jc w:val="both"/>
        <w:rPr>
          <w:sz w:val="24"/>
        </w:rPr>
      </w:pPr>
      <w:bookmarkStart w:id="0" w:name="_GoBack"/>
      <w:bookmarkEnd w:id="0"/>
    </w:p>
    <w:p>
      <w:pPr>
        <w:ind w:left="4675" w:right="480"/>
        <w:jc w:val="center"/>
        <w:rPr>
          <w:sz w:val="24"/>
        </w:rPr>
      </w:pPr>
      <w:r>
        <w:rPr>
          <w:rFonts w:hint="eastAsia"/>
          <w:sz w:val="24"/>
        </w:rPr>
        <w:t xml:space="preserve">        年   月   日（学院公章）</w:t>
      </w:r>
    </w:p>
    <w:p>
      <w:pPr>
        <w:spacing w:line="600" w:lineRule="exact"/>
        <w:ind w:firstLine="565" w:firstLineChars="202"/>
        <w:jc w:val="center"/>
        <w:rPr>
          <w:rFonts w:hint="eastAsia" w:ascii="仿宋" w:hAnsi="仿宋" w:eastAsia="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12"/>
    <w:rsid w:val="001C6212"/>
    <w:rsid w:val="0032258D"/>
    <w:rsid w:val="003670C2"/>
    <w:rsid w:val="00373B29"/>
    <w:rsid w:val="003E27B1"/>
    <w:rsid w:val="005B3131"/>
    <w:rsid w:val="006C41CF"/>
    <w:rsid w:val="00722342"/>
    <w:rsid w:val="00866675"/>
    <w:rsid w:val="0087059E"/>
    <w:rsid w:val="008B0362"/>
    <w:rsid w:val="008C2659"/>
    <w:rsid w:val="00944CEB"/>
    <w:rsid w:val="00A513BA"/>
    <w:rsid w:val="00AD63F2"/>
    <w:rsid w:val="00D6747A"/>
    <w:rsid w:val="00DF742C"/>
    <w:rsid w:val="00E0531E"/>
    <w:rsid w:val="00E83CCD"/>
    <w:rsid w:val="00F406BD"/>
    <w:rsid w:val="0AFD707E"/>
    <w:rsid w:val="1B9365E8"/>
    <w:rsid w:val="26BB4E52"/>
    <w:rsid w:val="4E6F2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批注框文本 Char"/>
    <w:basedOn w:val="7"/>
    <w:link w:val="3"/>
    <w:semiHidden/>
    <w:qFormat/>
    <w:uiPriority w:val="99"/>
    <w:rPr>
      <w:kern w:val="2"/>
      <w:sz w:val="18"/>
      <w:szCs w:val="18"/>
    </w:rPr>
  </w:style>
  <w:style w:type="character" w:customStyle="1" w:styleId="11">
    <w:name w:val="页眉 Char"/>
    <w:basedOn w:val="7"/>
    <w:link w:val="5"/>
    <w:qFormat/>
    <w:uiPriority w:val="99"/>
    <w:rPr>
      <w:kern w:val="2"/>
      <w:sz w:val="18"/>
      <w:szCs w:val="18"/>
    </w:rPr>
  </w:style>
  <w:style w:type="character" w:customStyle="1" w:styleId="12">
    <w:name w:val="页脚 Char"/>
    <w:basedOn w:val="7"/>
    <w:link w:val="4"/>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199</Words>
  <Characters>1138</Characters>
  <Lines>9</Lines>
  <Paragraphs>2</Paragraphs>
  <TotalTime>1</TotalTime>
  <ScaleCrop>false</ScaleCrop>
  <LinksUpToDate>false</LinksUpToDate>
  <CharactersWithSpaces>1335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2020-05-25T06:39:00Z</dcterms:created>
  <dc:creator>Mmeng</dc:creator>
  <cp:lastModifiedBy>Miss Li</cp:lastModifiedBy>
  <cp:lastPrinted>2020-05-28T04:51:00Z</cp:lastPrinted>
  <dcterms:modified xsi:type="dcterms:W3CDTF">2021-01-21T08:21:47Z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